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方正小标宋简体" w:eastAsia="黑体"/>
          <w:b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32"/>
        </w:rPr>
        <w:t>附件</w:t>
      </w:r>
      <w:r>
        <w:rPr>
          <w:rFonts w:hint="eastAsia" w:ascii="黑体" w:hAnsi="黑体" w:eastAsia="黑体" w:cs="黑体"/>
          <w:sz w:val="36"/>
          <w:szCs w:val="32"/>
          <w:lang w:val="en-US" w:eastAsia="zh-CN"/>
        </w:rPr>
        <w:t>4</w:t>
      </w:r>
    </w:p>
    <w:p>
      <w:pPr>
        <w:widowControl/>
        <w:spacing w:before="156" w:beforeLines="50" w:after="156" w:afterLines="50" w:line="560" w:lineRule="exact"/>
        <w:jc w:val="center"/>
        <w:rPr>
          <w:rFonts w:ascii="方正小标宋简体" w:eastAsia="方正小标宋简体"/>
          <w:bCs/>
          <w:sz w:val="44"/>
          <w:szCs w:val="52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52"/>
        </w:rPr>
        <w:t>服务供应商审查评分标准</w:t>
      </w:r>
      <w:bookmarkEnd w:id="0"/>
    </w:p>
    <w:p>
      <w:pPr>
        <w:widowControl/>
        <w:spacing w:line="400" w:lineRule="exact"/>
        <w:rPr>
          <w:rFonts w:ascii="仿宋_GB2312" w:eastAsia="仿宋_GB2312" w:cs="仿宋_GB2312"/>
          <w:bCs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以综合实力为主，包括企业</w:t>
      </w:r>
      <w:r>
        <w:rPr>
          <w:rFonts w:hint="eastAsia" w:ascii="仿宋_GB2312" w:eastAsia="仿宋_GB2312"/>
          <w:sz w:val="32"/>
          <w:szCs w:val="32"/>
        </w:rPr>
        <w:t>经营</w:t>
      </w:r>
      <w:r>
        <w:rPr>
          <w:rFonts w:ascii="仿宋_GB2312" w:eastAsia="仿宋_GB2312"/>
          <w:sz w:val="32"/>
          <w:szCs w:val="32"/>
        </w:rPr>
        <w:t>状况、</w:t>
      </w:r>
      <w:r>
        <w:rPr>
          <w:rFonts w:hint="eastAsia" w:ascii="仿宋_GB2312" w:eastAsia="仿宋_GB2312"/>
          <w:sz w:val="32"/>
          <w:szCs w:val="32"/>
        </w:rPr>
        <w:t>质量</w:t>
      </w:r>
      <w:r>
        <w:rPr>
          <w:rFonts w:ascii="仿宋_GB2312" w:eastAsia="仿宋_GB2312"/>
          <w:sz w:val="32"/>
          <w:szCs w:val="32"/>
        </w:rPr>
        <w:t>管理、诚信</w:t>
      </w:r>
      <w:r>
        <w:rPr>
          <w:rFonts w:hint="eastAsia" w:ascii="仿宋_GB2312" w:eastAsia="仿宋_GB2312"/>
          <w:sz w:val="32"/>
          <w:szCs w:val="32"/>
        </w:rPr>
        <w:t>合作</w:t>
      </w:r>
      <w:r>
        <w:rPr>
          <w:rFonts w:ascii="仿宋_GB2312" w:eastAsia="仿宋_GB2312"/>
          <w:sz w:val="32"/>
          <w:szCs w:val="32"/>
        </w:rPr>
        <w:t>、物资设备管理等，具体</w:t>
      </w:r>
      <w:r>
        <w:rPr>
          <w:rFonts w:hint="eastAsia" w:ascii="仿宋_GB2312" w:eastAsia="仿宋_GB2312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如下：</w:t>
      </w:r>
    </w:p>
    <w:p>
      <w:pPr>
        <w:widowControl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（一）监理</w:t>
      </w:r>
    </w:p>
    <w:tbl>
      <w:tblPr>
        <w:tblStyle w:val="2"/>
        <w:tblW w:w="9767" w:type="dxa"/>
        <w:tblInd w:w="-67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602"/>
        <w:gridCol w:w="6403"/>
        <w:gridCol w:w="112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序号</w:t>
            </w: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  <w:right w:w="7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评审因素</w:t>
            </w:r>
          </w:p>
        </w:tc>
        <w:tc>
          <w:tcPr>
            <w:tcW w:w="640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评审细则</w:t>
            </w:r>
          </w:p>
        </w:tc>
        <w:tc>
          <w:tcPr>
            <w:tcW w:w="11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  <w:right w:w="7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资质情况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（满分20分）</w:t>
            </w:r>
          </w:p>
        </w:tc>
        <w:tc>
          <w:tcPr>
            <w:tcW w:w="640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  <w:right w:w="284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具备房屋建筑工程监理甲级得15分，工程监理综合资质的得20分。</w:t>
            </w:r>
          </w:p>
        </w:tc>
        <w:tc>
          <w:tcPr>
            <w:tcW w:w="11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  <w:right w:w="7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业绩情况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（满分20分）</w:t>
            </w:r>
          </w:p>
        </w:tc>
        <w:tc>
          <w:tcPr>
            <w:tcW w:w="640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  <w:right w:w="284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2018年1月1日起至今至少完成过两个及以上单个合同建设面积10万㎡及以上或单个合同金额为150万元及以上的房屋建筑工程监理服务项目得15分，每增加一个项目加5分。本项满分20分。</w:t>
            </w:r>
          </w:p>
        </w:tc>
        <w:tc>
          <w:tcPr>
            <w:tcW w:w="11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  <w:right w:w="7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企业财务状况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（满分20分）</w:t>
            </w:r>
          </w:p>
        </w:tc>
        <w:tc>
          <w:tcPr>
            <w:tcW w:w="640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  <w:right w:w="284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提供2017 年至 2019 年经审计的财务报表，每提供一年得3分，满分9分。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按总资产与总负债之差计算为正值，每提供一年得 4 分，满分11分。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本项满分20分。</w:t>
            </w:r>
          </w:p>
        </w:tc>
        <w:tc>
          <w:tcPr>
            <w:tcW w:w="11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  <w:right w:w="7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监理人员机构情况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（满分25分）</w:t>
            </w:r>
          </w:p>
        </w:tc>
        <w:tc>
          <w:tcPr>
            <w:tcW w:w="640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  <w:right w:w="284" w:type="dxa"/>
            </w:tcMar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总监理工程师从业经历：服务过2个类似项目的，得10分，每增加1个类似项目业绩加2分。满分15分。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拟配置的专业工程师齐全（土建、安装、造价等专业）并具有工程师职称的，得5分，拟配置的专业工程师服务过1个类似项目的，得5分，满分10分。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本项满分10分。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备注：拟投入总监理工程师需附执业资格证书复印件加盖拟推荐单位公章，专业工程师需附职称证书复印件并加盖拟推荐单位盖章。</w:t>
            </w:r>
          </w:p>
        </w:tc>
        <w:tc>
          <w:tcPr>
            <w:tcW w:w="11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  <w:right w:w="7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企业信誉实力（满分15分）</w:t>
            </w:r>
          </w:p>
        </w:tc>
        <w:tc>
          <w:tcPr>
            <w:tcW w:w="640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  <w:right w:w="284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持有有效ISO质量管理体系认证的，得5分。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4 \* GB3 \* MERGEFORMAT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期内获得国家级奖的，每个得5分；获得省级（或自治区或直辖市）奖的，每个得3分；获得设区地级市奖的，每个得1分。本项满分5分（考核时间以证书颁发时间为准，单项合同以获最高等级荣誉计分一次）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考核期内获得省级或以上监理协会颁发的先进工程监理企业荣誉的，每个得1分。本项满分5分。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本项满分15分。</w:t>
            </w:r>
          </w:p>
        </w:tc>
        <w:tc>
          <w:tcPr>
            <w:tcW w:w="11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  <w:right w:w="7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100分</w:t>
            </w:r>
          </w:p>
        </w:tc>
        <w:tc>
          <w:tcPr>
            <w:tcW w:w="752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spacing w:line="3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widowControl/>
        <w:spacing w:line="3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（二）设计</w:t>
      </w:r>
    </w:p>
    <w:tbl>
      <w:tblPr>
        <w:tblStyle w:val="3"/>
        <w:tblW w:w="9768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6644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</w:trPr>
        <w:tc>
          <w:tcPr>
            <w:tcW w:w="20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设计供应商类别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评审因素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18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总平规划及单体方案设计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具备建筑行业（建筑工程）或综合甲级资质得20分。本项满分20分。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2018年至截止报名时间止承接过国内Top50/区内Top10房企项目（项目规模不小于20万㎡）总平规划及单体方案设计，其中有2个以上项目落地，得10分。每增加一个项目加5分。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本项满分20分。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提供不少于两个设计团队，每个团队不少于6人，团队主创必须为工程师职称且持专业注册证，其余主要设计师从业年限不少于3年，得20分。每增加提供一个团队，加10分。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本项满分30分。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团队主创及主要设计师需有不少于5个且规模不小于20万㎡房地产项目总平规划及单体方案设计经验，得10分。每增加1个经验加5分。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具有ISO质量管理体系、环境管理体系、职业健康安全管理体系认证的，得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100分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18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建筑施工图设计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具备建筑行业（建筑工程）或综合甲级资质得20分。本项满分20分。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2018年至截止报名时间止承接过国内Top50/区内Top10房企项目（项目规模不小于20万㎡）建筑施工图设计，其中有2个以上项目落地，，得10分。每增加一个项目加5分。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本项满分20分。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提供不少于两个设计团队，每个团队不少于20人，各专业负责人必须为高级职称，建筑、结构、设备专业中，每个专业至少有一人持专业注册证，得20分.每增加提供一个团队，加10分。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本项满分30分。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团队主创及主要设计师需有不少于5个且规模不小于20万㎡房地产项目施工图设计经验，得10分。每增加1个经验加5分，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具有ISO质量管理体系、环境管理体系、职业健康安全管理体系认证的，得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100分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18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园林景观设计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风景园林工程设计专项乙级得20分。风景园林工程设计专项甲级得30分。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本项满分30分。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2018年至截止报名时间止承接过国内Top50/区内Top5房企项目（项目规模不小于20万㎡，且景观面积不小于5万㎡）展示区、大区园林景观方案及施工图设计，其中有3个以上项目落地，得20分。每增加一个经验加5分。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本项满分30分。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团队主创及主要设计师需有不少于3个且规模不小于20万㎡，且景观面积不小于5万㎡房地产项目展示区、大区园林景观方案及施工图设计经验，得20分。每增加1个经验加5分。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具有ISO质量管理体系、环境管理体系、职业健康安全管理体系认证的，得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100分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8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室内装修设计（地产项目）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建筑装饰工程设计专项乙级得20分。建筑装饰工程设计专项甲级得30分。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本项满分30分。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2018年至截止报名时间止承接过国内Top20房企项目（项目规模不小于20万㎡）的售楼部、样板间、公区及样板房设计，其中有3个以上项目落地，得20分。每增加一个项目加5分。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本项满分30分。。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团队主创及主要设计师需有不少于5个且规模不小于20万㎡房地产项目的售楼部、样板间、公区及批量精装房设计，得20分。每增加1个项目加5分。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具有ISO质量管理体系、环境管理体系、职业健康安全管理体系认证的，得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100分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018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室内装修设计（酒店项目）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建筑装饰工程设计专项乙级得20分。建筑装饰工程设计专项甲级得30分。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本项满分30分。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2018年至截止报名时间止承接过国内四星级（含四星）以上酒店装饰装修设计，其中有3个以上项目落地，得20分。每增加一个项目加5分。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本项满分30分。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团队主创及主要设计师需有不少于3个国内四星级（含四星）以上酒店装饰装修设计经验，得20分。每增加1个项目加5分。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具有ISO质量管理体系、环境管理体系、职业健康安全管理体系认证的，得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0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100分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18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智能化设计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</w:rPr>
              <w:t>（总计100分）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建筑行业（建筑工程）甲级或建筑智能化系统设计专项甲级资质得30分。本项满分30分。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2018年至截止报名时间止承接过国内Top20房企项目（项目规模不小于20万㎡）智能化系统设计，得20分。每增加一个项目加5分。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本项满分30分。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团队主要设计师需有不少于3个且规模不小于20万㎡房地产项目的智能化系统设计经验，得20分。每增加1个项目加5分。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具有ISO质量管理体系、环境管理体系、职业健康安全管理体系认证的，得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100分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24"/>
          <w:szCs w:val="24"/>
        </w:rPr>
      </w:pPr>
    </w:p>
    <w:p>
      <w:pPr>
        <w:widowControl/>
        <w:spacing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（三）工程造价咨询</w:t>
      </w:r>
    </w:p>
    <w:tbl>
      <w:tblPr>
        <w:tblStyle w:val="2"/>
        <w:tblW w:w="9767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688"/>
        <w:gridCol w:w="5961"/>
        <w:gridCol w:w="137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序号</w:t>
            </w: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评审因素</w:t>
            </w:r>
          </w:p>
        </w:tc>
        <w:tc>
          <w:tcPr>
            <w:tcW w:w="596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评审细则</w:t>
            </w:r>
          </w:p>
        </w:tc>
        <w:tc>
          <w:tcPr>
            <w:tcW w:w="137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8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资质情况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（满分50分）</w:t>
            </w:r>
          </w:p>
        </w:tc>
        <w:tc>
          <w:tcPr>
            <w:tcW w:w="596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具备工程造价咨询甲级资质的得20分。</w:t>
            </w:r>
          </w:p>
        </w:tc>
        <w:tc>
          <w:tcPr>
            <w:tcW w:w="137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88" w:type="dxa"/>
            <w:vMerge w:val="continue"/>
            <w:tcBorders>
              <w:left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596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企业注册资本不少于人民币200万元的得10分。</w:t>
            </w:r>
          </w:p>
        </w:tc>
        <w:tc>
          <w:tcPr>
            <w:tcW w:w="137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88" w:type="dxa"/>
            <w:vMerge w:val="continue"/>
            <w:tcBorders>
              <w:left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596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企业近3年工程造价咨询营业收入不低于人民币800万元/年，得10分。</w:t>
            </w:r>
          </w:p>
        </w:tc>
        <w:tc>
          <w:tcPr>
            <w:tcW w:w="137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8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596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具有固定的办公场所，人均办公建筑面积不少于10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，得10分。</w:t>
            </w:r>
          </w:p>
        </w:tc>
        <w:tc>
          <w:tcPr>
            <w:tcW w:w="137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业绩情况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（满分30分）</w:t>
            </w:r>
          </w:p>
        </w:tc>
        <w:tc>
          <w:tcPr>
            <w:tcW w:w="596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2018年12月至今具有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个及以上工程造价不低于2亿元或建筑面积不低于10万m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的房地产项目工程量清单及控制价编制、竣工结算审核服务业绩的，得20分，每增加一个类似业绩，加2分。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本项满分30分。</w:t>
            </w:r>
          </w:p>
        </w:tc>
        <w:tc>
          <w:tcPr>
            <w:tcW w:w="137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技术人员情况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（满分2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96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项目负责人是建设部注册造价工程师，具有工程或工程经济类工程师，从事工程造价专业不少于1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年，得10分。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采用全过程造价咨询服务要求不少于1名驻场人员，该人员应当具备开发规模不低于10万m2的房地产造价咨询服务经验或服务过不少于10个房地产项目，得10分。</w:t>
            </w:r>
          </w:p>
        </w:tc>
        <w:tc>
          <w:tcPr>
            <w:tcW w:w="137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596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100分</w:t>
            </w:r>
          </w:p>
        </w:tc>
        <w:tc>
          <w:tcPr>
            <w:tcW w:w="137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（四）勘察</w:t>
      </w:r>
    </w:p>
    <w:tbl>
      <w:tblPr>
        <w:tblStyle w:val="2"/>
        <w:tblW w:w="9709" w:type="dxa"/>
        <w:tblInd w:w="106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068"/>
        <w:gridCol w:w="5424"/>
        <w:gridCol w:w="1364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序号</w:t>
            </w:r>
          </w:p>
        </w:tc>
        <w:tc>
          <w:tcPr>
            <w:tcW w:w="2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评审因素</w:t>
            </w:r>
          </w:p>
        </w:tc>
        <w:tc>
          <w:tcPr>
            <w:tcW w:w="54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评审细则</w:t>
            </w:r>
          </w:p>
        </w:tc>
        <w:tc>
          <w:tcPr>
            <w:tcW w:w="136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资质情况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0分）</w:t>
            </w:r>
          </w:p>
        </w:tc>
        <w:tc>
          <w:tcPr>
            <w:tcW w:w="54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具备工程勘察（岩土工程）专业甲级资质的得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分。具备工程勘察综合资质综合甲级的得20分。</w:t>
            </w:r>
          </w:p>
        </w:tc>
        <w:tc>
          <w:tcPr>
            <w:tcW w:w="136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业绩情况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（满分30分）</w:t>
            </w:r>
          </w:p>
        </w:tc>
        <w:tc>
          <w:tcPr>
            <w:tcW w:w="54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服务采购合作企业2017年12月至今已完成或正在实施工程至少2项合同金额为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万元及以上的市政或房建类工程勘察项目的得20分。每增加一个类似业绩，加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本项满分30分。</w:t>
            </w:r>
          </w:p>
        </w:tc>
        <w:tc>
          <w:tcPr>
            <w:tcW w:w="136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技术人员情况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4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项目技术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必须具备国家注册土木工程师（岩土）执业证书，并具有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工程师职称的得20分，具有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高级工程师职称的得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25分；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每增加提供1名驻场人员，加5分。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。</w:t>
            </w:r>
          </w:p>
        </w:tc>
        <w:tc>
          <w:tcPr>
            <w:tcW w:w="136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06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信誉实力情况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）</w:t>
            </w:r>
          </w:p>
        </w:tc>
        <w:tc>
          <w:tcPr>
            <w:tcW w:w="54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2017年以来获得省级、自治区、直辖市行政主管部门颁发的优秀工程勘察奖的，每项得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2分。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本项满分10分。</w:t>
            </w:r>
          </w:p>
        </w:tc>
        <w:tc>
          <w:tcPr>
            <w:tcW w:w="136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5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068" w:type="dxa"/>
            <w:vMerge w:val="continue"/>
            <w:tcBorders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54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具有质量、安全、职业健康管理体系认证，且在有效期内的得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36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921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54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100分</w:t>
            </w:r>
          </w:p>
        </w:tc>
        <w:tc>
          <w:tcPr>
            <w:tcW w:w="136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spacing w:line="3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（五）检测</w:t>
      </w:r>
    </w:p>
    <w:tbl>
      <w:tblPr>
        <w:tblStyle w:val="2"/>
        <w:tblW w:w="9653" w:type="dxa"/>
        <w:tblInd w:w="106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2056"/>
        <w:gridCol w:w="5393"/>
        <w:gridCol w:w="1356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序号</w:t>
            </w:r>
          </w:p>
        </w:tc>
        <w:tc>
          <w:tcPr>
            <w:tcW w:w="2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评审因素</w:t>
            </w:r>
          </w:p>
        </w:tc>
        <w:tc>
          <w:tcPr>
            <w:tcW w:w="539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评审细则</w:t>
            </w:r>
          </w:p>
        </w:tc>
        <w:tc>
          <w:tcPr>
            <w:tcW w:w="135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1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8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资质情况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0分）</w:t>
            </w:r>
          </w:p>
        </w:tc>
        <w:tc>
          <w:tcPr>
            <w:tcW w:w="539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具有地基基础工程检测、见证取样检测、主体结构工程现场检测、建筑物附属设备安装工程检测资质的，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每项资质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分；具有室内环境检测、节能检测、建筑幕墙工程检测、钢结构工程检测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防雷检测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等资质的，每项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本项满分30分。</w:t>
            </w:r>
          </w:p>
        </w:tc>
        <w:tc>
          <w:tcPr>
            <w:tcW w:w="135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8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业绩情况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（满分30分）</w:t>
            </w:r>
          </w:p>
        </w:tc>
        <w:tc>
          <w:tcPr>
            <w:tcW w:w="539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2017年12月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已完成或正在实施工程至少2项建设规模为10万平方米及以上或合同金额为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万元及以上的市政或房建类工程检测项目的，得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分。每增加一个类似业绩，加5分。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本项满分30分。</w:t>
            </w:r>
          </w:p>
        </w:tc>
        <w:tc>
          <w:tcPr>
            <w:tcW w:w="135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技术人员情况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39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拟参加本公司项目的项目负责人具备国家注册土木工程师（岩土）或一级注册结构工程师执业证书，并具备中级工程师及以上职称的得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分；服务项目的技术人员满足检测需求的，得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分；本项满分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0分。</w:t>
            </w:r>
          </w:p>
        </w:tc>
        <w:tc>
          <w:tcPr>
            <w:tcW w:w="135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8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05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信誉实力情况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）</w:t>
            </w:r>
          </w:p>
        </w:tc>
        <w:tc>
          <w:tcPr>
            <w:tcW w:w="539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2017年以来获得省级、自治区、直辖市行政主管部门颁发检测行业奖项、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AAA荣誉证书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的，每项得2分。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2017年以来参与编写工程类国家、行业、地方标准的，每项得2分。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35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48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056" w:type="dxa"/>
            <w:vMerge w:val="continue"/>
            <w:tcBorders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539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具有质量、安全、职业健康管理体系认证，且在有效期内的得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35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904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539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100分</w:t>
            </w:r>
          </w:p>
        </w:tc>
        <w:tc>
          <w:tcPr>
            <w:tcW w:w="135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6A3718"/>
    <w:multiLevelType w:val="singleLevel"/>
    <w:tmpl w:val="ED6A3718"/>
    <w:lvl w:ilvl="0" w:tentative="0">
      <w:start w:val="1"/>
      <w:numFmt w:val="decimalEnclosedCircle"/>
      <w:suff w:val="nothing"/>
      <w:lvlText w:val="%1"/>
      <w:lvlJc w:val="left"/>
      <w:rPr>
        <w:rFonts w:ascii="宋体" w:hAnsi="宋体" w:eastAsia="宋体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A439C"/>
    <w:rsid w:val="1F6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2020-12-10T01:08:00Z</dcterms:created>
  <dc:creator>姚珊</dc:creator>
  <cp:lastModifiedBy>姚珊</cp:lastModifiedBy>
  <dcterms:modified xsi:type="dcterms:W3CDTF">2020-12-10T01:09:06Z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